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0574" w14:textId="77777777" w:rsidR="00EB7B04" w:rsidRDefault="00EB7B04" w:rsidP="005431AC">
      <w:pPr>
        <w:ind w:firstLine="720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F86988" w14:textId="0CCCA27B" w:rsidR="005431AC" w:rsidRPr="005431AC" w:rsidRDefault="005431AC" w:rsidP="005431A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stabilirea</w:t>
      </w:r>
      <w:proofErr w:type="spellEnd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venitului</w:t>
      </w:r>
      <w:proofErr w:type="spellEnd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net 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mediu</w:t>
      </w:r>
      <w:proofErr w:type="spellEnd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lunar pe 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membru</w:t>
      </w:r>
      <w:proofErr w:type="spellEnd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familie</w:t>
      </w:r>
      <w:proofErr w:type="spellEnd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persoană</w:t>
      </w:r>
      <w:proofErr w:type="spellEnd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singură</w:t>
      </w:r>
      <w:proofErr w:type="spellEnd"/>
      <w:r w:rsidRPr="005431AC">
        <w:rPr>
          <w:rStyle w:val="Strong"/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se </w:t>
      </w:r>
      <w:proofErr w:type="spellStart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iau</w:t>
      </w:r>
      <w:proofErr w:type="spellEnd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în</w:t>
      </w:r>
      <w:proofErr w:type="spellEnd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calcul</w:t>
      </w:r>
      <w:proofErr w:type="spellEnd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toate</w:t>
      </w:r>
      <w:proofErr w:type="spellEnd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veniturile</w:t>
      </w:r>
      <w:proofErr w:type="spellEnd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nete </w:t>
      </w:r>
      <w:proofErr w:type="spellStart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realizate</w:t>
      </w:r>
      <w:proofErr w:type="spellEnd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membrii</w:t>
      </w:r>
      <w:proofErr w:type="spellEnd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acesteia</w:t>
      </w:r>
      <w:proofErr w:type="spellEnd"/>
      <w:r w:rsidRPr="0054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în</w:t>
      </w:r>
      <w:proofErr w:type="spellEnd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luna</w:t>
      </w:r>
      <w:proofErr w:type="spellEnd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anterioară</w:t>
      </w:r>
      <w:proofErr w:type="spellEnd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lunii</w:t>
      </w:r>
      <w:proofErr w:type="spellEnd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în</w:t>
      </w:r>
      <w:proofErr w:type="spellEnd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care se 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solicită</w:t>
      </w:r>
      <w:proofErr w:type="spellEnd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dreptul</w:t>
      </w:r>
      <w:proofErr w:type="spellEnd"/>
      <w:r w:rsidRPr="005431A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14:paraId="5F14A5D1" w14:textId="77777777" w:rsidR="005431AC" w:rsidRDefault="005431AC" w:rsidP="005431AC">
      <w:pPr>
        <w:rPr>
          <w:rFonts w:ascii="Times New Roman" w:hAnsi="Times New Roman" w:cs="Times New Roman"/>
          <w:sz w:val="28"/>
          <w:szCs w:val="28"/>
        </w:rPr>
      </w:pPr>
    </w:p>
    <w:p w14:paraId="5DBF4703" w14:textId="620E7112" w:rsidR="005431AC" w:rsidRPr="005431AC" w:rsidRDefault="005431AC" w:rsidP="005431A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nete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doveditoare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iau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calcul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venitului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net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lunar sunt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:</w:t>
      </w:r>
    </w:p>
    <w:p w14:paraId="6463BA0D" w14:textId="77777777" w:rsidR="005431AC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salariat din care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reiasă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net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bonurilor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masă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prime,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indemnizaţii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hrană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, etc. (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salariul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net cu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menţiunea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nu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bonuri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masă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);</w:t>
      </w:r>
    </w:p>
    <w:p w14:paraId="558F7D55" w14:textId="77777777" w:rsidR="005431AC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5431AC">
        <w:rPr>
          <w:rFonts w:ascii="Times New Roman" w:hAnsi="Times New Roman" w:cs="Times New Roman"/>
          <w:sz w:val="28"/>
          <w:szCs w:val="28"/>
        </w:rPr>
        <w:t xml:space="preserve">talon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şomaj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;</w:t>
      </w:r>
    </w:p>
    <w:p w14:paraId="2A292E44" w14:textId="77777777" w:rsidR="005431AC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5431AC">
        <w:rPr>
          <w:rFonts w:ascii="Times New Roman" w:hAnsi="Times New Roman" w:cs="Times New Roman"/>
          <w:sz w:val="28"/>
          <w:szCs w:val="28"/>
        </w:rPr>
        <w:t xml:space="preserve">talon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alocație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plasament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;</w:t>
      </w:r>
    </w:p>
    <w:p w14:paraId="335D36F9" w14:textId="77777777" w:rsidR="005431AC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5431AC">
        <w:rPr>
          <w:rFonts w:ascii="Times New Roman" w:hAnsi="Times New Roman" w:cs="Times New Roman"/>
          <w:sz w:val="28"/>
          <w:szCs w:val="28"/>
        </w:rPr>
        <w:t xml:space="preserve">talon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pensie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pensii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;</w:t>
      </w:r>
    </w:p>
    <w:p w14:paraId="70B6455F" w14:textId="77777777" w:rsidR="005431AC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5431AC">
        <w:rPr>
          <w:rFonts w:ascii="Times New Roman" w:hAnsi="Times New Roman" w:cs="Times New Roman"/>
          <w:sz w:val="28"/>
          <w:szCs w:val="28"/>
        </w:rPr>
        <w:t xml:space="preserve">talon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indemnizaţie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indemnizaţii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speciale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indemnizaţia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stimulentul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creşterea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indemnizaţia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lunară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cu handicap);</w:t>
      </w:r>
    </w:p>
    <w:p w14:paraId="3C387093" w14:textId="712A1490" w:rsidR="005431AC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Fiscal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Orăşenesc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Buftea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toţi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adulţi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indiferent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obţinute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fi solicitate la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exemplu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: un extras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constata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deţine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depozit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bancar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mare </w:t>
      </w:r>
      <w:proofErr w:type="gramStart"/>
      <w:r w:rsidRPr="005431AC">
        <w:rPr>
          <w:rFonts w:ascii="Times New Roman" w:hAnsi="Times New Roman" w:cs="Times New Roman"/>
          <w:sz w:val="28"/>
          <w:szCs w:val="28"/>
        </w:rPr>
        <w:t>de  3000</w:t>
      </w:r>
      <w:proofErr w:type="gramEnd"/>
      <w:r w:rsidRPr="005431AC">
        <w:rPr>
          <w:rFonts w:ascii="Times New Roman" w:hAnsi="Times New Roman" w:cs="Times New Roman"/>
          <w:sz w:val="28"/>
          <w:szCs w:val="28"/>
        </w:rPr>
        <w:t xml:space="preserve"> lei);</w:t>
      </w:r>
    </w:p>
    <w:p w14:paraId="1C3F9127" w14:textId="23A86FF5" w:rsidR="005431AC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asimilate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salariilor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autor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prestări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etc.),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dobânzi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independente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etc.</w:t>
      </w:r>
    </w:p>
    <w:p w14:paraId="47092A2A" w14:textId="297CB8D8" w:rsidR="005431AC" w:rsidRDefault="005431AC" w:rsidP="005431AC">
      <w:pPr>
        <w:rPr>
          <w:rFonts w:ascii="Times New Roman" w:hAnsi="Times New Roman" w:cs="Times New Roman"/>
          <w:sz w:val="28"/>
          <w:szCs w:val="28"/>
        </w:rPr>
      </w:pPr>
      <w:r w:rsidRPr="005431A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0CC0033" w14:textId="1D30742E" w:rsidR="00D2526A" w:rsidRDefault="00D2526A" w:rsidP="005431AC">
      <w:pPr>
        <w:rPr>
          <w:rFonts w:ascii="Times New Roman" w:hAnsi="Times New Roman" w:cs="Times New Roman"/>
          <w:sz w:val="28"/>
          <w:szCs w:val="28"/>
        </w:rPr>
      </w:pPr>
    </w:p>
    <w:p w14:paraId="66E5BF68" w14:textId="16ECE98D" w:rsidR="00D2526A" w:rsidRDefault="00D2526A" w:rsidP="005431AC">
      <w:pPr>
        <w:rPr>
          <w:rFonts w:ascii="Times New Roman" w:hAnsi="Times New Roman" w:cs="Times New Roman"/>
          <w:sz w:val="28"/>
          <w:szCs w:val="28"/>
        </w:rPr>
      </w:pPr>
    </w:p>
    <w:p w14:paraId="19C887DD" w14:textId="3D10E142" w:rsidR="00D2526A" w:rsidRDefault="00D2526A" w:rsidP="005431AC">
      <w:pPr>
        <w:rPr>
          <w:rFonts w:ascii="Times New Roman" w:hAnsi="Times New Roman" w:cs="Times New Roman"/>
          <w:sz w:val="28"/>
          <w:szCs w:val="28"/>
        </w:rPr>
      </w:pPr>
    </w:p>
    <w:p w14:paraId="4B9E6EC0" w14:textId="180BAA6C" w:rsidR="00D2526A" w:rsidRDefault="00D2526A" w:rsidP="005431AC">
      <w:pPr>
        <w:rPr>
          <w:rFonts w:ascii="Times New Roman" w:hAnsi="Times New Roman" w:cs="Times New Roman"/>
          <w:sz w:val="28"/>
          <w:szCs w:val="28"/>
        </w:rPr>
      </w:pPr>
    </w:p>
    <w:p w14:paraId="1295AF94" w14:textId="77777777" w:rsidR="00D2526A" w:rsidRDefault="00D2526A" w:rsidP="005431AC">
      <w:pPr>
        <w:rPr>
          <w:rFonts w:ascii="Times New Roman" w:hAnsi="Times New Roman" w:cs="Times New Roman"/>
          <w:sz w:val="28"/>
          <w:szCs w:val="28"/>
        </w:rPr>
      </w:pPr>
    </w:p>
    <w:p w14:paraId="4F9937EB" w14:textId="77777777" w:rsidR="00D2526A" w:rsidRDefault="00D2526A" w:rsidP="005431A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49EFDCA" w14:textId="77777777" w:rsidR="00D2526A" w:rsidRDefault="00D2526A" w:rsidP="005431A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DB03E56" w14:textId="4403108E" w:rsidR="005431AC" w:rsidRPr="005431AC" w:rsidRDefault="005431AC" w:rsidP="005431A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Categorii</w:t>
      </w:r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care </w:t>
      </w:r>
      <w:r w:rsidRPr="005431AC">
        <w:rPr>
          <w:rFonts w:ascii="Times New Roman" w:hAnsi="Times New Roman" w:cs="Times New Roman"/>
          <w:b/>
          <w:bCs/>
          <w:sz w:val="28"/>
          <w:szCs w:val="28"/>
        </w:rPr>
        <w:t>nu</w:t>
      </w:r>
      <w:r w:rsidRPr="005431A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iau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calcul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venitului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net/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:</w:t>
      </w:r>
    </w:p>
    <w:p w14:paraId="5B810C87" w14:textId="77777777" w:rsidR="005431AC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alocaţia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;</w:t>
      </w:r>
    </w:p>
    <w:p w14:paraId="413ADFCA" w14:textId="77777777" w:rsidR="005431AC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alocația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;</w:t>
      </w:r>
    </w:p>
    <w:p w14:paraId="7D8049F7" w14:textId="77777777" w:rsidR="005431AC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31AC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complementar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cu handicap;</w:t>
      </w:r>
    </w:p>
    <w:p w14:paraId="79B7BAC3" w14:textId="77777777" w:rsidR="005431AC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stimulentul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educational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oferit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tichet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social,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nr. 248/2015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stimularea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participării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învățământul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preșcolar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proveniți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familii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defavorizate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;</w:t>
      </w:r>
    </w:p>
    <w:p w14:paraId="0C2D3992" w14:textId="77777777" w:rsidR="005431AC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proofErr w:type="spellStart"/>
      <w:r w:rsidRPr="005431AC">
        <w:rPr>
          <w:rFonts w:ascii="Times New Roman" w:hAnsi="Times New Roman" w:cs="Times New Roman"/>
          <w:sz w:val="28"/>
          <w:szCs w:val="28"/>
        </w:rPr>
        <w:t>bursele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bursele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“Bani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liceu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;</w:t>
      </w:r>
    </w:p>
    <w:p w14:paraId="227E4E30" w14:textId="77777777" w:rsidR="005431AC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proofErr w:type="spellStart"/>
      <w:r w:rsidRPr="005431AC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obţinute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ocazional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zilieri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nr. 52/2011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ocazional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zilieri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;</w:t>
      </w:r>
    </w:p>
    <w:p w14:paraId="4F9D82F9" w14:textId="24927AD0" w:rsidR="00A054BE" w:rsidRPr="005431AC" w:rsidRDefault="005431AC" w:rsidP="005431AC">
      <w:pPr>
        <w:pStyle w:val="ListParagraph"/>
        <w:numPr>
          <w:ilvl w:val="0"/>
          <w:numId w:val="1"/>
        </w:numPr>
        <w:spacing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sumele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ocazionale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bugetele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locale cu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despăgubiri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sprijin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situații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AC">
        <w:rPr>
          <w:rFonts w:ascii="Times New Roman" w:hAnsi="Times New Roman" w:cs="Times New Roman"/>
          <w:sz w:val="28"/>
          <w:szCs w:val="28"/>
        </w:rPr>
        <w:t>excepționale</w:t>
      </w:r>
      <w:proofErr w:type="spellEnd"/>
      <w:r w:rsidRPr="005431AC">
        <w:rPr>
          <w:rFonts w:ascii="Times New Roman" w:hAnsi="Times New Roman" w:cs="Times New Roman"/>
          <w:sz w:val="28"/>
          <w:szCs w:val="28"/>
        </w:rPr>
        <w:t>.</w:t>
      </w:r>
    </w:p>
    <w:sectPr w:rsidR="00A054BE" w:rsidRPr="005431AC" w:rsidSect="005431AC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3259"/>
    <w:multiLevelType w:val="hybridMultilevel"/>
    <w:tmpl w:val="418CF1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C"/>
    <w:rsid w:val="005431AC"/>
    <w:rsid w:val="00A054BE"/>
    <w:rsid w:val="00D2526A"/>
    <w:rsid w:val="00E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F72D"/>
  <w15:chartTrackingRefBased/>
  <w15:docId w15:val="{101809D7-46B2-4F7C-B1EA-800E0999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31AC"/>
    <w:rPr>
      <w:b/>
      <w:bCs/>
    </w:rPr>
  </w:style>
  <w:style w:type="paragraph" w:styleId="ListParagraph">
    <w:name w:val="List Paragraph"/>
    <w:basedOn w:val="Normal"/>
    <w:uiPriority w:val="34"/>
    <w:qFormat/>
    <w:rsid w:val="0054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Cresa</dc:creator>
  <cp:keywords/>
  <dc:description/>
  <cp:lastModifiedBy>Cresa</cp:lastModifiedBy>
  <cp:revision>3</cp:revision>
  <cp:lastPrinted>2021-10-15T05:51:00Z</cp:lastPrinted>
  <dcterms:created xsi:type="dcterms:W3CDTF">2021-10-15T05:43:00Z</dcterms:created>
  <dcterms:modified xsi:type="dcterms:W3CDTF">2021-10-15T05:54:00Z</dcterms:modified>
</cp:coreProperties>
</file>